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8577FE" w:rsidRDefault="00521351" w:rsidP="00D0743C">
      <w:pPr>
        <w:jc w:val="right"/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</w:t>
      </w:r>
    </w:p>
    <w:p w14:paraId="07F0FC0B" w14:textId="2B581EC5" w:rsidR="008577FE" w:rsidRPr="00D5726A" w:rsidRDefault="00A70321" w:rsidP="008577FE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02.1</w:t>
      </w:r>
      <w:r w:rsidR="00FC684E">
        <w:rPr>
          <w:rFonts w:ascii="Arial" w:hAnsi="Arial" w:cs="Arial"/>
          <w:b/>
        </w:rPr>
        <w:t>4</w:t>
      </w:r>
    </w:p>
    <w:p w14:paraId="16FE322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95F1CF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22CA15C3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DB1A8AA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63A05EE4" w14:textId="10741745" w:rsidR="00683B06" w:rsidRDefault="00874633" w:rsidP="004440A7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VEJLEDNING</w:t>
      </w:r>
      <w:r w:rsidR="00607022">
        <w:rPr>
          <w:rFonts w:ascii="Arial" w:hAnsi="Arial" w:cs="Arial"/>
          <w:b/>
        </w:rPr>
        <w:t xml:space="preserve"> FOR DISPONERING AF DONATIONER, PENGEGAVER OG ARV</w:t>
      </w:r>
    </w:p>
    <w:p w14:paraId="1A654891" w14:textId="77777777" w:rsidR="00683B06" w:rsidRDefault="00683B06" w:rsidP="008577FE">
      <w:pPr>
        <w:rPr>
          <w:rFonts w:ascii="Arial" w:hAnsi="Arial" w:cs="Arial"/>
        </w:rPr>
      </w:pPr>
    </w:p>
    <w:p w14:paraId="45CF9014" w14:textId="42BEC0D9" w:rsidR="00DF4557" w:rsidRPr="00DF4557" w:rsidRDefault="00DF4557" w:rsidP="008577FE">
      <w:pPr>
        <w:rPr>
          <w:rFonts w:ascii="Arial" w:hAnsi="Arial" w:cs="Arial"/>
          <w:b/>
        </w:rPr>
      </w:pPr>
      <w:r w:rsidRPr="00DF4557">
        <w:rPr>
          <w:rFonts w:ascii="Arial" w:hAnsi="Arial" w:cs="Arial"/>
          <w:b/>
        </w:rPr>
        <w:t>1. Indledning.</w:t>
      </w:r>
    </w:p>
    <w:p w14:paraId="46D73BC3" w14:textId="77777777" w:rsidR="00DF4557" w:rsidRDefault="00DF4557" w:rsidP="008577FE">
      <w:pPr>
        <w:rPr>
          <w:rFonts w:ascii="Arial" w:hAnsi="Arial" w:cs="Arial"/>
        </w:rPr>
      </w:pPr>
    </w:p>
    <w:p w14:paraId="643B6D72" w14:textId="4D7E5942" w:rsidR="008577FE" w:rsidRDefault="008577FE" w:rsidP="00857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Danmarks Veteraners </w:t>
      </w:r>
      <w:r w:rsidR="00607022">
        <w:rPr>
          <w:rFonts w:ascii="Arial" w:hAnsi="Arial" w:cs="Arial"/>
        </w:rPr>
        <w:t xml:space="preserve">skal gennem modtagelse af mindst 100 årlige donationer af et beløb på minimum kr. 205,- </w:t>
      </w:r>
      <w:r w:rsidR="00C50A08">
        <w:rPr>
          <w:rFonts w:ascii="Arial" w:hAnsi="Arial" w:cs="Arial"/>
        </w:rPr>
        <w:t xml:space="preserve">der jf. Ligningslovens § 8 a giver bidragsyderen ligningsmæssigt fradrag, </w:t>
      </w:r>
      <w:r w:rsidR="00607022">
        <w:rPr>
          <w:rFonts w:ascii="Arial" w:hAnsi="Arial" w:cs="Arial"/>
        </w:rPr>
        <w:t xml:space="preserve">opretholde status som </w:t>
      </w:r>
      <w:r w:rsidR="00C50A08">
        <w:rPr>
          <w:rFonts w:ascii="Arial" w:hAnsi="Arial" w:cs="Arial"/>
        </w:rPr>
        <w:t>almennyttig</w:t>
      </w:r>
      <w:r w:rsidR="00607022">
        <w:rPr>
          <w:rFonts w:ascii="Arial" w:hAnsi="Arial" w:cs="Arial"/>
        </w:rPr>
        <w:t xml:space="preserve"> organisation, </w:t>
      </w:r>
    </w:p>
    <w:p w14:paraId="097D8B53" w14:textId="27DFA43E" w:rsidR="00607022" w:rsidRDefault="00607022" w:rsidP="00857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opretholdelse af status som godkendt § 8a organisation kan Danmarks Veteraner </w:t>
      </w:r>
      <w:proofErr w:type="gramStart"/>
      <w:r>
        <w:rPr>
          <w:rFonts w:ascii="Arial" w:hAnsi="Arial" w:cs="Arial"/>
        </w:rPr>
        <w:t>endvidere</w:t>
      </w:r>
      <w:proofErr w:type="gramEnd"/>
      <w:r>
        <w:rPr>
          <w:rFonts w:ascii="Arial" w:hAnsi="Arial" w:cs="Arial"/>
        </w:rPr>
        <w:t xml:space="preserve"> modtage arv</w:t>
      </w:r>
      <w:r w:rsidR="00FC684E">
        <w:rPr>
          <w:rFonts w:ascii="Arial" w:hAnsi="Arial" w:cs="Arial"/>
        </w:rPr>
        <w:t xml:space="preserve"> efter særlige regler i arveloven</w:t>
      </w:r>
      <w:r>
        <w:rPr>
          <w:rFonts w:ascii="Arial" w:hAnsi="Arial" w:cs="Arial"/>
        </w:rPr>
        <w:t>.</w:t>
      </w:r>
    </w:p>
    <w:p w14:paraId="696DFC10" w14:textId="77777777" w:rsidR="002037A0" w:rsidRPr="008577FE" w:rsidRDefault="002037A0" w:rsidP="008577FE">
      <w:pPr>
        <w:rPr>
          <w:rFonts w:ascii="Arial" w:hAnsi="Arial" w:cs="Arial"/>
        </w:rPr>
      </w:pPr>
    </w:p>
    <w:p w14:paraId="56E28DA6" w14:textId="37673761" w:rsidR="008577FE" w:rsidRPr="008577FE" w:rsidRDefault="00DF4557" w:rsidP="002037A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577FE" w:rsidRPr="008577FE">
        <w:rPr>
          <w:rFonts w:ascii="Arial" w:hAnsi="Arial" w:cs="Arial"/>
        </w:rPr>
        <w:t xml:space="preserve">epræsentantskabet </w:t>
      </w:r>
      <w:r>
        <w:rPr>
          <w:rFonts w:ascii="Arial" w:hAnsi="Arial" w:cs="Arial"/>
        </w:rPr>
        <w:t xml:space="preserve">er </w:t>
      </w:r>
      <w:r w:rsidR="008577FE" w:rsidRPr="008577FE">
        <w:rPr>
          <w:rFonts w:ascii="Arial" w:hAnsi="Arial" w:cs="Arial"/>
        </w:rPr>
        <w:t xml:space="preserve">foreningens højeste myndighed og </w:t>
      </w:r>
      <w:r w:rsidR="00607022">
        <w:rPr>
          <w:rFonts w:ascii="Arial" w:hAnsi="Arial" w:cs="Arial"/>
        </w:rPr>
        <w:t>fastsætter i vedtægterne overordnede retningslinjer</w:t>
      </w:r>
      <w:r w:rsidR="00025BE6">
        <w:rPr>
          <w:rFonts w:ascii="Arial" w:hAnsi="Arial" w:cs="Arial"/>
        </w:rPr>
        <w:t xml:space="preserve"> for anvendelse af donationer, pengegaver og arv.</w:t>
      </w:r>
      <w:r w:rsidR="008577FE" w:rsidRPr="008577FE">
        <w:rPr>
          <w:rFonts w:ascii="Arial" w:hAnsi="Arial" w:cs="Arial"/>
        </w:rPr>
        <w:br/>
      </w:r>
    </w:p>
    <w:p w14:paraId="4C60EDF9" w14:textId="68D4E839" w:rsidR="008577FE" w:rsidRDefault="00DF4557" w:rsidP="002037A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577FE" w:rsidRPr="008577FE">
        <w:rPr>
          <w:rFonts w:ascii="Arial" w:hAnsi="Arial" w:cs="Arial"/>
        </w:rPr>
        <w:t xml:space="preserve">ovedbestyrelsen </w:t>
      </w:r>
      <w:r w:rsidR="00025BE6">
        <w:rPr>
          <w:rFonts w:ascii="Arial" w:hAnsi="Arial" w:cs="Arial"/>
        </w:rPr>
        <w:t>disponerer modtagne donationer, pengegaver og arv efter retningslinjerne i landsforeningens vedtægter og nærværende policy. Hovedbestyrelsen</w:t>
      </w:r>
      <w:r>
        <w:rPr>
          <w:rFonts w:ascii="Arial" w:hAnsi="Arial" w:cs="Arial"/>
        </w:rPr>
        <w:t xml:space="preserve"> støtter sig i nødvendigt omfang til ressourcepersoner og ad hoc nedsatte </w:t>
      </w:r>
      <w:r w:rsidR="002C6431">
        <w:rPr>
          <w:rFonts w:ascii="Arial" w:hAnsi="Arial" w:cs="Arial"/>
        </w:rPr>
        <w:t>udvalg</w:t>
      </w:r>
      <w:r w:rsidR="002C6431" w:rsidRPr="008577FE">
        <w:rPr>
          <w:rFonts w:ascii="Arial" w:hAnsi="Arial" w:cs="Arial"/>
        </w:rPr>
        <w:t xml:space="preserve">. </w:t>
      </w:r>
      <w:r w:rsidR="008577FE" w:rsidRPr="008577FE">
        <w:rPr>
          <w:rFonts w:ascii="Arial" w:hAnsi="Arial" w:cs="Arial"/>
        </w:rPr>
        <w:br/>
      </w:r>
    </w:p>
    <w:p w14:paraId="01E143F8" w14:textId="171A5546" w:rsidR="007E7F17" w:rsidRDefault="00025BE6" w:rsidP="002037A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74711" w14:textId="77777777" w:rsidR="00F7266C" w:rsidRPr="00622779" w:rsidRDefault="00F7266C" w:rsidP="00F7266C">
      <w:pPr>
        <w:tabs>
          <w:tab w:val="left" w:pos="567"/>
        </w:tabs>
        <w:rPr>
          <w:rFonts w:ascii="Arial" w:hAnsi="Arial" w:cs="Arial"/>
          <w:b/>
        </w:rPr>
      </w:pPr>
      <w:r w:rsidRPr="00622779">
        <w:rPr>
          <w:rFonts w:ascii="Arial" w:hAnsi="Arial" w:cs="Arial"/>
          <w:b/>
        </w:rPr>
        <w:t>2.  Modtagelse af donationer, pengegaver og arv.</w:t>
      </w:r>
    </w:p>
    <w:p w14:paraId="7BFA19B0" w14:textId="10104D4B" w:rsidR="00F04773" w:rsidRDefault="00F04773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Danmarks Veteraner </w:t>
      </w:r>
      <w:r w:rsidRPr="00F7266C">
        <w:rPr>
          <w:rFonts w:ascii="Arial" w:hAnsi="Arial" w:cs="Arial"/>
        </w:rPr>
        <w:t xml:space="preserve">samler penge ind til </w:t>
      </w:r>
      <w:r>
        <w:rPr>
          <w:rFonts w:ascii="Arial" w:hAnsi="Arial" w:cs="Arial"/>
        </w:rPr>
        <w:t>støtte for aktiviteter til gavn og glæde for alle veteraner i Kongeriget Danmark</w:t>
      </w:r>
      <w:r w:rsidRPr="00F7266C">
        <w:rPr>
          <w:rFonts w:ascii="Arial" w:hAnsi="Arial" w:cs="Arial"/>
        </w:rPr>
        <w:t>.</w:t>
      </w:r>
    </w:p>
    <w:p w14:paraId="7442162F" w14:textId="1A07BBD6" w:rsidR="00622779" w:rsidRDefault="00622779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Donation af penge sker enten via bankoverførsel eller ved </w:t>
      </w:r>
      <w:proofErr w:type="spellStart"/>
      <w:r>
        <w:rPr>
          <w:rFonts w:ascii="Arial" w:hAnsi="Arial" w:cs="Arial"/>
        </w:rPr>
        <w:t>MobilPay</w:t>
      </w:r>
      <w:proofErr w:type="spellEnd"/>
      <w:r>
        <w:rPr>
          <w:rFonts w:ascii="Arial" w:hAnsi="Arial" w:cs="Arial"/>
        </w:rPr>
        <w:t>. Modtagne beløb indsættes på Danmarks Veteraners bankkonto for henholdsvis ”Donationer” og ”§ 8a donationer” og registreres særskilt i landsforeningens årsregnskab.</w:t>
      </w:r>
    </w:p>
    <w:p w14:paraId="557518F8" w14:textId="084BC18E" w:rsidR="00AE5AF4" w:rsidRDefault="00AE5AF4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Danmarks Veteraner budgetterer ikke med modtagelse af donationer, pengegaver og arv.</w:t>
      </w:r>
    </w:p>
    <w:p w14:paraId="4DDC7D8E" w14:textId="77777777" w:rsidR="00622779" w:rsidRDefault="00622779" w:rsidP="00F7266C">
      <w:pPr>
        <w:tabs>
          <w:tab w:val="left" w:pos="567"/>
        </w:tabs>
        <w:rPr>
          <w:rFonts w:ascii="Arial" w:hAnsi="Arial" w:cs="Arial"/>
        </w:rPr>
      </w:pPr>
    </w:p>
    <w:p w14:paraId="5C71FEA0" w14:textId="77777777" w:rsidR="00F04773" w:rsidRDefault="00F04773" w:rsidP="00F7266C">
      <w:pPr>
        <w:tabs>
          <w:tab w:val="left" w:pos="567"/>
        </w:tabs>
        <w:rPr>
          <w:rFonts w:ascii="Arial" w:hAnsi="Arial" w:cs="Arial"/>
        </w:rPr>
      </w:pPr>
    </w:p>
    <w:p w14:paraId="44B87EA8" w14:textId="74DFC779" w:rsidR="00F04773" w:rsidRPr="00622779" w:rsidRDefault="00F04773" w:rsidP="00F7266C">
      <w:pPr>
        <w:tabs>
          <w:tab w:val="left" w:pos="567"/>
        </w:tabs>
        <w:rPr>
          <w:rFonts w:ascii="Arial" w:hAnsi="Arial" w:cs="Arial"/>
          <w:b/>
        </w:rPr>
      </w:pPr>
      <w:r w:rsidRPr="00622779">
        <w:rPr>
          <w:rFonts w:ascii="Arial" w:hAnsi="Arial" w:cs="Arial"/>
          <w:b/>
        </w:rPr>
        <w:t>3.  Anvendelse af donationer, pengegaver og arv.</w:t>
      </w:r>
    </w:p>
    <w:p w14:paraId="512F634D" w14:textId="56A61C2C" w:rsidR="00F7266C" w:rsidRDefault="00F04773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Danmarks Veteraner anvender modtagne pengebeløb til støtte for årligt tilbagevendende aktiviteter og til iværksættelse af ny aktiviteter. </w:t>
      </w:r>
      <w:r w:rsidR="00F7266C" w:rsidRPr="00F7266C">
        <w:rPr>
          <w:rFonts w:ascii="Arial" w:hAnsi="Arial" w:cs="Arial"/>
        </w:rPr>
        <w:t xml:space="preserve">Det kan for eksempel være til </w:t>
      </w:r>
      <w:r w:rsidR="00F7266C">
        <w:rPr>
          <w:rFonts w:ascii="Arial" w:hAnsi="Arial" w:cs="Arial"/>
        </w:rPr>
        <w:t>parader, hvor veteraner modtager anerkendelse for deres tjeneste i internationale missioner eller modtager jubilæumsmedaljer, og årstegn. Eller det kan være til arrangementer, hvor veteraner og deres pårørende mødes</w:t>
      </w:r>
      <w:r>
        <w:rPr>
          <w:rFonts w:ascii="Arial" w:hAnsi="Arial" w:cs="Arial"/>
        </w:rPr>
        <w:t xml:space="preserve"> til kammeratligt samvær og </w:t>
      </w:r>
      <w:r w:rsidR="00F7266C">
        <w:rPr>
          <w:rFonts w:ascii="Arial" w:hAnsi="Arial" w:cs="Arial"/>
        </w:rPr>
        <w:t xml:space="preserve">gives mulighed for </w:t>
      </w:r>
      <w:r>
        <w:rPr>
          <w:rFonts w:ascii="Arial" w:hAnsi="Arial" w:cs="Arial"/>
        </w:rPr>
        <w:t>et uformelt samvær.</w:t>
      </w:r>
    </w:p>
    <w:p w14:paraId="1FCA259C" w14:textId="29119290" w:rsidR="00F04773" w:rsidRDefault="00F04773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 kan også være til støtte for ny tiltag på tværs af to eller flere lokalforeninger, hvor man søger at aktivere veteraner med </w:t>
      </w:r>
      <w:proofErr w:type="spellStart"/>
      <w:r>
        <w:rPr>
          <w:rFonts w:ascii="Arial" w:hAnsi="Arial" w:cs="Arial"/>
        </w:rPr>
        <w:t>f.eks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E-sports</w:t>
      </w:r>
      <w:proofErr w:type="spellEnd"/>
      <w:r>
        <w:rPr>
          <w:rFonts w:ascii="Arial" w:hAnsi="Arial" w:cs="Arial"/>
        </w:rPr>
        <w:t xml:space="preserve"> arrangementer, familieaktiviteter o. lign.</w:t>
      </w:r>
    </w:p>
    <w:p w14:paraId="7BC957BF" w14:textId="77777777" w:rsidR="002C6431" w:rsidRDefault="002C6431" w:rsidP="00F7266C">
      <w:pPr>
        <w:tabs>
          <w:tab w:val="left" w:pos="567"/>
        </w:tabs>
        <w:rPr>
          <w:rFonts w:ascii="Arial" w:hAnsi="Arial" w:cs="Arial"/>
        </w:rPr>
      </w:pPr>
    </w:p>
    <w:p w14:paraId="6572F4C7" w14:textId="6F824947" w:rsidR="00F7266C" w:rsidRPr="00F7266C" w:rsidRDefault="00F04773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Donationer og arv kan være øremærket til bestemte formål, der støtter aktiviteter målrettet veteraner. Sådanne klausuler</w:t>
      </w:r>
      <w:r w:rsidR="00622779">
        <w:rPr>
          <w:rFonts w:ascii="Arial" w:hAnsi="Arial" w:cs="Arial"/>
        </w:rPr>
        <w:t>, skal inden pengegaven modtages, godkendes af Hovedbestyrelsen.</w:t>
      </w:r>
    </w:p>
    <w:p w14:paraId="2CFE7036" w14:textId="49ACA7E1" w:rsidR="00F662B3" w:rsidRDefault="00622779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Hovedbestyrelsen orienterer Repræsentantskabet gennem Årsrapporten,</w:t>
      </w:r>
      <w:r w:rsidR="00F7266C" w:rsidRPr="00F72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hvorledes de modtagne midler generelt er anvendt i regnskabsåret.</w:t>
      </w:r>
    </w:p>
    <w:p w14:paraId="01132A74" w14:textId="77777777" w:rsidR="002C6431" w:rsidRDefault="002C6431" w:rsidP="00F7266C">
      <w:pPr>
        <w:tabs>
          <w:tab w:val="left" w:pos="567"/>
        </w:tabs>
        <w:rPr>
          <w:rFonts w:ascii="Arial" w:hAnsi="Arial" w:cs="Arial"/>
        </w:rPr>
      </w:pPr>
    </w:p>
    <w:p w14:paraId="57505DD6" w14:textId="246DAD3F" w:rsidR="002C6431" w:rsidRPr="002C6431" w:rsidRDefault="002C6431" w:rsidP="00F7266C">
      <w:pPr>
        <w:tabs>
          <w:tab w:val="left" w:pos="567"/>
        </w:tabs>
        <w:rPr>
          <w:rFonts w:ascii="Arial" w:hAnsi="Arial" w:cs="Arial"/>
          <w:b/>
        </w:rPr>
      </w:pPr>
      <w:r w:rsidRPr="002C6431">
        <w:rPr>
          <w:rFonts w:ascii="Arial" w:hAnsi="Arial" w:cs="Arial"/>
          <w:b/>
        </w:rPr>
        <w:t>4. Tilladelser, indberetninger m.v.</w:t>
      </w:r>
    </w:p>
    <w:p w14:paraId="412CAF56" w14:textId="0EF1F005" w:rsidR="002C6431" w:rsidRDefault="002C6431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Hovedbestyrelsen indhenter årligt tilladelse fra Indsamlingsnævnet til at modtage donationer, pengegaver og arv gennem annoncering i medlemsbladet, på sociale medier m.v. Andre initiativer til indsamling af penge i rammen af Danmarks Veteraner og godkendt af Hovedbestyrelsen kan gennemføres indenfor Indsamlingsnævnets tilladelse.</w:t>
      </w:r>
    </w:p>
    <w:p w14:paraId="474FFD2C" w14:textId="77777777" w:rsidR="002C6431" w:rsidRPr="00F7266C" w:rsidRDefault="002C6431" w:rsidP="00F7266C">
      <w:pPr>
        <w:tabs>
          <w:tab w:val="left" w:pos="567"/>
        </w:tabs>
        <w:rPr>
          <w:rFonts w:ascii="Arial" w:hAnsi="Arial" w:cs="Arial"/>
        </w:rPr>
      </w:pPr>
    </w:p>
    <w:p w14:paraId="53C73CB9" w14:textId="5DECB80D" w:rsidR="00F7266C" w:rsidRDefault="002C6431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Danmarks Veteraner skal ved regnskabsårets afslutning til SKAT indberette modtage donationer, der er givet i henhold til Ligningslovens § 8a. Endvidere skal der til SKAT indsendes årsregnskab.</w:t>
      </w:r>
    </w:p>
    <w:p w14:paraId="4AACB01A" w14:textId="77777777" w:rsidR="002C6431" w:rsidRDefault="002C6431" w:rsidP="00F7266C">
      <w:pPr>
        <w:tabs>
          <w:tab w:val="left" w:pos="567"/>
        </w:tabs>
        <w:rPr>
          <w:rFonts w:ascii="Arial" w:hAnsi="Arial" w:cs="Arial"/>
        </w:rPr>
      </w:pPr>
    </w:p>
    <w:p w14:paraId="5D5DA60F" w14:textId="6CB87765" w:rsidR="002C6431" w:rsidRPr="00F7266C" w:rsidRDefault="002C6431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Hovedbestyrelsen forestår indhentning af tilladelser, indberetning til SKAT m.v.</w:t>
      </w:r>
    </w:p>
    <w:p w14:paraId="7643D4D7" w14:textId="77777777" w:rsidR="007824BC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23494081" w14:textId="77777777" w:rsidR="007824BC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4C3C6D34" w14:textId="77777777" w:rsidR="007824BC" w:rsidRPr="008577FE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6A4231B6" w14:textId="77777777" w:rsidR="008577FE" w:rsidRDefault="008577FE" w:rsidP="008577FE">
      <w:pPr>
        <w:tabs>
          <w:tab w:val="left" w:pos="567"/>
        </w:tabs>
        <w:rPr>
          <w:rFonts w:ascii="Arial" w:hAnsi="Arial" w:cs="Arial"/>
        </w:rPr>
      </w:pPr>
    </w:p>
    <w:p w14:paraId="34983B9D" w14:textId="77777777" w:rsidR="004440A7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4F33B44D" w14:textId="77777777" w:rsidR="004440A7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0D98C5A4" w14:textId="77777777" w:rsidR="004440A7" w:rsidRPr="008577FE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2D6B50E9" w14:textId="77777777" w:rsidR="00E629DE" w:rsidRDefault="00E629DE" w:rsidP="00E629DE">
      <w:pPr>
        <w:tabs>
          <w:tab w:val="left" w:pos="2552"/>
        </w:tabs>
        <w:rPr>
          <w:rFonts w:ascii="Arial" w:hAnsi="Arial" w:cs="Arial"/>
        </w:rPr>
      </w:pPr>
    </w:p>
    <w:p w14:paraId="090BD071" w14:textId="77777777" w:rsidR="00E629DE" w:rsidRDefault="00E629DE" w:rsidP="00E629DE">
      <w:pPr>
        <w:tabs>
          <w:tab w:val="left" w:pos="2552"/>
        </w:tabs>
        <w:rPr>
          <w:rFonts w:ascii="Arial" w:hAnsi="Arial" w:cs="Arial"/>
        </w:rPr>
      </w:pPr>
    </w:p>
    <w:p w14:paraId="254831B4" w14:textId="77777777" w:rsidR="00E629DE" w:rsidRDefault="00E629DE" w:rsidP="00E629DE">
      <w:pPr>
        <w:tabs>
          <w:tab w:val="left" w:pos="2552"/>
        </w:tabs>
        <w:rPr>
          <w:rFonts w:ascii="Arial" w:hAnsi="Arial" w:cs="Arial"/>
          <w:b/>
        </w:rPr>
      </w:pPr>
    </w:p>
    <w:p w14:paraId="5DA79823" w14:textId="77777777" w:rsidR="00E629DE" w:rsidRDefault="00E629DE" w:rsidP="00E629DE">
      <w:pPr>
        <w:tabs>
          <w:tab w:val="left" w:pos="2552"/>
        </w:tabs>
        <w:rPr>
          <w:rFonts w:ascii="Arial" w:hAnsi="Arial" w:cs="Arial"/>
          <w:b/>
        </w:rPr>
      </w:pPr>
    </w:p>
    <w:p w14:paraId="25815102" w14:textId="6593DE26" w:rsidR="008577FE" w:rsidRPr="008577FE" w:rsidRDefault="00025BE6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6D0D7285" w14:textId="72E4F056" w:rsidR="008577FE" w:rsidRPr="008577FE" w:rsidRDefault="00FB1B9F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77FE" w:rsidRPr="008577FE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7C31" w14:textId="77777777" w:rsidR="000F29EF" w:rsidRDefault="000F29EF">
      <w:r>
        <w:separator/>
      </w:r>
    </w:p>
  </w:endnote>
  <w:endnote w:type="continuationSeparator" w:id="0">
    <w:p w14:paraId="363F9DA8" w14:textId="77777777" w:rsidR="000F29EF" w:rsidRDefault="000F29EF">
      <w:r>
        <w:continuationSeparator/>
      </w:r>
    </w:p>
  </w:endnote>
  <w:endnote w:type="continuationNotice" w:id="1">
    <w:p w14:paraId="4E6D334E" w14:textId="77777777" w:rsidR="000F29EF" w:rsidRDefault="000F2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D4480A" w:rsidRPr="003A2F06" w:rsidRDefault="00D4480A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57519E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D4480A" w:rsidRDefault="00D448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D4480A" w:rsidRDefault="00D4480A" w:rsidP="00D0743C">
    <w:pPr>
      <w:pStyle w:val="Sidefod"/>
    </w:pPr>
  </w:p>
  <w:p w14:paraId="6BD3D9C9" w14:textId="77777777" w:rsidR="00D4480A" w:rsidRDefault="00D4480A" w:rsidP="00D0743C">
    <w:pPr>
      <w:pStyle w:val="Sidefod"/>
    </w:pPr>
  </w:p>
  <w:p w14:paraId="3956D56D" w14:textId="59D2C208" w:rsidR="00D4480A" w:rsidRPr="00340785" w:rsidRDefault="00C50A08" w:rsidP="002532A1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9C0B" w14:textId="77777777" w:rsidR="000F29EF" w:rsidRDefault="000F29EF">
      <w:r>
        <w:separator/>
      </w:r>
    </w:p>
  </w:footnote>
  <w:footnote w:type="continuationSeparator" w:id="0">
    <w:p w14:paraId="7902EF7A" w14:textId="77777777" w:rsidR="000F29EF" w:rsidRDefault="000F29EF">
      <w:r>
        <w:continuationSeparator/>
      </w:r>
    </w:p>
  </w:footnote>
  <w:footnote w:type="continuationNotice" w:id="1">
    <w:p w14:paraId="1878DACE" w14:textId="77777777" w:rsidR="000F29EF" w:rsidRDefault="000F2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D4480A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D4480A" w:rsidRDefault="00D4480A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D4480A" w:rsidRPr="006A29D8" w:rsidRDefault="00D4480A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Protektor H.K.H. Prins Joachim</w:t>
          </w:r>
        </w:p>
        <w:p w14:paraId="6D313082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D4480A" w:rsidRPr="00714A58" w:rsidRDefault="00D4480A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D4480A" w:rsidRPr="008F3848" w:rsidRDefault="00D4480A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D4480A" w:rsidRPr="00714A58" w:rsidRDefault="00D4480A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E8"/>
    <w:multiLevelType w:val="hybridMultilevel"/>
    <w:tmpl w:val="0F9A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276"/>
    <w:multiLevelType w:val="hybridMultilevel"/>
    <w:tmpl w:val="A53C6D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F9"/>
    <w:multiLevelType w:val="hybridMultilevel"/>
    <w:tmpl w:val="4E966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C87"/>
    <w:multiLevelType w:val="hybridMultilevel"/>
    <w:tmpl w:val="07DCEB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2B2B"/>
    <w:multiLevelType w:val="hybridMultilevel"/>
    <w:tmpl w:val="9402789C"/>
    <w:lvl w:ilvl="0" w:tplc="B3FE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77A"/>
    <w:multiLevelType w:val="hybridMultilevel"/>
    <w:tmpl w:val="CB24B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77"/>
    <w:multiLevelType w:val="hybridMultilevel"/>
    <w:tmpl w:val="F4F28F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AF7678"/>
    <w:multiLevelType w:val="hybridMultilevel"/>
    <w:tmpl w:val="4B1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2C04"/>
    <w:multiLevelType w:val="hybridMultilevel"/>
    <w:tmpl w:val="C46606E0"/>
    <w:lvl w:ilvl="0" w:tplc="710E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78EA"/>
    <w:multiLevelType w:val="hybridMultilevel"/>
    <w:tmpl w:val="DD3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F195A"/>
    <w:multiLevelType w:val="hybridMultilevel"/>
    <w:tmpl w:val="733C2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2B83"/>
    <w:multiLevelType w:val="hybridMultilevel"/>
    <w:tmpl w:val="13C6D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1E8D"/>
    <w:multiLevelType w:val="hybridMultilevel"/>
    <w:tmpl w:val="4C5820A4"/>
    <w:lvl w:ilvl="0" w:tplc="6BC83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411"/>
    <w:multiLevelType w:val="hybridMultilevel"/>
    <w:tmpl w:val="32EC1870"/>
    <w:lvl w:ilvl="0" w:tplc="761E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28AC"/>
    <w:multiLevelType w:val="hybridMultilevel"/>
    <w:tmpl w:val="F9B0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0AA"/>
    <w:multiLevelType w:val="hybridMultilevel"/>
    <w:tmpl w:val="4258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A2E75"/>
    <w:multiLevelType w:val="hybridMultilevel"/>
    <w:tmpl w:val="02000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75843">
    <w:abstractNumId w:val="9"/>
  </w:num>
  <w:num w:numId="2" w16cid:durableId="1765343704">
    <w:abstractNumId w:val="18"/>
  </w:num>
  <w:num w:numId="3" w16cid:durableId="67464692">
    <w:abstractNumId w:val="8"/>
  </w:num>
  <w:num w:numId="4" w16cid:durableId="1093160260">
    <w:abstractNumId w:val="3"/>
  </w:num>
  <w:num w:numId="5" w16cid:durableId="63182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6845577">
    <w:abstractNumId w:val="5"/>
  </w:num>
  <w:num w:numId="7" w16cid:durableId="425346159">
    <w:abstractNumId w:val="11"/>
  </w:num>
  <w:num w:numId="8" w16cid:durableId="1607493342">
    <w:abstractNumId w:val="7"/>
  </w:num>
  <w:num w:numId="9" w16cid:durableId="834805643">
    <w:abstractNumId w:val="1"/>
  </w:num>
  <w:num w:numId="10" w16cid:durableId="371271218">
    <w:abstractNumId w:val="0"/>
  </w:num>
  <w:num w:numId="11" w16cid:durableId="206798112">
    <w:abstractNumId w:val="2"/>
  </w:num>
  <w:num w:numId="12" w16cid:durableId="1410735962">
    <w:abstractNumId w:val="13"/>
  </w:num>
  <w:num w:numId="13" w16cid:durableId="344793859">
    <w:abstractNumId w:val="10"/>
  </w:num>
  <w:num w:numId="14" w16cid:durableId="108428607">
    <w:abstractNumId w:val="17"/>
  </w:num>
  <w:num w:numId="15" w16cid:durableId="1737243870">
    <w:abstractNumId w:val="12"/>
  </w:num>
  <w:num w:numId="16" w16cid:durableId="1731152893">
    <w:abstractNumId w:val="20"/>
  </w:num>
  <w:num w:numId="17" w16cid:durableId="633951446">
    <w:abstractNumId w:val="19"/>
  </w:num>
  <w:num w:numId="18" w16cid:durableId="972713917">
    <w:abstractNumId w:val="14"/>
  </w:num>
  <w:num w:numId="19" w16cid:durableId="1748258287">
    <w:abstractNumId w:val="6"/>
  </w:num>
  <w:num w:numId="20" w16cid:durableId="1153565324">
    <w:abstractNumId w:val="16"/>
  </w:num>
  <w:num w:numId="21" w16cid:durableId="461461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5BE6"/>
    <w:rsid w:val="00044841"/>
    <w:rsid w:val="00086AD5"/>
    <w:rsid w:val="00096374"/>
    <w:rsid w:val="000B0B83"/>
    <w:rsid w:val="000B2473"/>
    <w:rsid w:val="000E1FB6"/>
    <w:rsid w:val="000F0BFE"/>
    <w:rsid w:val="000F29EF"/>
    <w:rsid w:val="00117664"/>
    <w:rsid w:val="00121856"/>
    <w:rsid w:val="001222DA"/>
    <w:rsid w:val="00124E54"/>
    <w:rsid w:val="00142F1F"/>
    <w:rsid w:val="0015009D"/>
    <w:rsid w:val="00157C22"/>
    <w:rsid w:val="00183ACC"/>
    <w:rsid w:val="0018504C"/>
    <w:rsid w:val="001B3037"/>
    <w:rsid w:val="001D6AFB"/>
    <w:rsid w:val="002037A0"/>
    <w:rsid w:val="00217E8A"/>
    <w:rsid w:val="00221B80"/>
    <w:rsid w:val="00245103"/>
    <w:rsid w:val="002532A1"/>
    <w:rsid w:val="00260179"/>
    <w:rsid w:val="00277633"/>
    <w:rsid w:val="002C6431"/>
    <w:rsid w:val="002D1F66"/>
    <w:rsid w:val="002D7A61"/>
    <w:rsid w:val="002E1820"/>
    <w:rsid w:val="002E1CFF"/>
    <w:rsid w:val="0030269E"/>
    <w:rsid w:val="00313021"/>
    <w:rsid w:val="0033391D"/>
    <w:rsid w:val="00340785"/>
    <w:rsid w:val="00347FF6"/>
    <w:rsid w:val="00353AA7"/>
    <w:rsid w:val="00360A9E"/>
    <w:rsid w:val="00364B23"/>
    <w:rsid w:val="003870C8"/>
    <w:rsid w:val="00395658"/>
    <w:rsid w:val="003A2F06"/>
    <w:rsid w:val="003B1F65"/>
    <w:rsid w:val="003F258D"/>
    <w:rsid w:val="00421396"/>
    <w:rsid w:val="00443818"/>
    <w:rsid w:val="004440A7"/>
    <w:rsid w:val="004507EB"/>
    <w:rsid w:val="00454983"/>
    <w:rsid w:val="00471B8F"/>
    <w:rsid w:val="004764E2"/>
    <w:rsid w:val="004847A2"/>
    <w:rsid w:val="00487D72"/>
    <w:rsid w:val="004B2A2B"/>
    <w:rsid w:val="004B5918"/>
    <w:rsid w:val="004B5D87"/>
    <w:rsid w:val="004E5194"/>
    <w:rsid w:val="004F22F3"/>
    <w:rsid w:val="005038A3"/>
    <w:rsid w:val="00521351"/>
    <w:rsid w:val="00540E3B"/>
    <w:rsid w:val="005701CC"/>
    <w:rsid w:val="00570547"/>
    <w:rsid w:val="0057519E"/>
    <w:rsid w:val="005A6330"/>
    <w:rsid w:val="005E01DE"/>
    <w:rsid w:val="005E4291"/>
    <w:rsid w:val="00607022"/>
    <w:rsid w:val="00614AAC"/>
    <w:rsid w:val="006217FB"/>
    <w:rsid w:val="00622779"/>
    <w:rsid w:val="00643596"/>
    <w:rsid w:val="006551DC"/>
    <w:rsid w:val="006818FD"/>
    <w:rsid w:val="00683B06"/>
    <w:rsid w:val="006A29D8"/>
    <w:rsid w:val="006B7BAB"/>
    <w:rsid w:val="006C4C1E"/>
    <w:rsid w:val="00714A58"/>
    <w:rsid w:val="00720489"/>
    <w:rsid w:val="007436C5"/>
    <w:rsid w:val="00761A3A"/>
    <w:rsid w:val="00770B9A"/>
    <w:rsid w:val="007824BC"/>
    <w:rsid w:val="007A2D9F"/>
    <w:rsid w:val="007B6A43"/>
    <w:rsid w:val="007C4A48"/>
    <w:rsid w:val="007E24ED"/>
    <w:rsid w:val="007E61F6"/>
    <w:rsid w:val="007E7F17"/>
    <w:rsid w:val="007F45A8"/>
    <w:rsid w:val="00823456"/>
    <w:rsid w:val="008577FE"/>
    <w:rsid w:val="00873220"/>
    <w:rsid w:val="00874633"/>
    <w:rsid w:val="0088475E"/>
    <w:rsid w:val="00897020"/>
    <w:rsid w:val="008B4AE3"/>
    <w:rsid w:val="008C2009"/>
    <w:rsid w:val="008E0589"/>
    <w:rsid w:val="008F208E"/>
    <w:rsid w:val="008F3848"/>
    <w:rsid w:val="008F523D"/>
    <w:rsid w:val="00901ACF"/>
    <w:rsid w:val="00915163"/>
    <w:rsid w:val="00921C54"/>
    <w:rsid w:val="009938FF"/>
    <w:rsid w:val="009A62EB"/>
    <w:rsid w:val="009C2858"/>
    <w:rsid w:val="009D70C4"/>
    <w:rsid w:val="009E0CBB"/>
    <w:rsid w:val="009E12BF"/>
    <w:rsid w:val="009F0AF9"/>
    <w:rsid w:val="009F3EFF"/>
    <w:rsid w:val="00A01C73"/>
    <w:rsid w:val="00A029D7"/>
    <w:rsid w:val="00A04195"/>
    <w:rsid w:val="00A41962"/>
    <w:rsid w:val="00A5381F"/>
    <w:rsid w:val="00A5420A"/>
    <w:rsid w:val="00A63C7D"/>
    <w:rsid w:val="00A70321"/>
    <w:rsid w:val="00A71D1F"/>
    <w:rsid w:val="00A90378"/>
    <w:rsid w:val="00A93110"/>
    <w:rsid w:val="00AC6408"/>
    <w:rsid w:val="00AE5AF4"/>
    <w:rsid w:val="00B1762A"/>
    <w:rsid w:val="00B3327C"/>
    <w:rsid w:val="00B42DC9"/>
    <w:rsid w:val="00B51BEB"/>
    <w:rsid w:val="00B76314"/>
    <w:rsid w:val="00B90D8A"/>
    <w:rsid w:val="00B9782A"/>
    <w:rsid w:val="00BB7D8C"/>
    <w:rsid w:val="00BF0ECB"/>
    <w:rsid w:val="00BF78E1"/>
    <w:rsid w:val="00C24DE6"/>
    <w:rsid w:val="00C50A08"/>
    <w:rsid w:val="00C50E2A"/>
    <w:rsid w:val="00C73335"/>
    <w:rsid w:val="00C96D36"/>
    <w:rsid w:val="00CA1A7C"/>
    <w:rsid w:val="00CF48BC"/>
    <w:rsid w:val="00D0743C"/>
    <w:rsid w:val="00D15AE3"/>
    <w:rsid w:val="00D4480A"/>
    <w:rsid w:val="00D5726A"/>
    <w:rsid w:val="00D67449"/>
    <w:rsid w:val="00D70159"/>
    <w:rsid w:val="00D8134C"/>
    <w:rsid w:val="00D95149"/>
    <w:rsid w:val="00DF4557"/>
    <w:rsid w:val="00E005FC"/>
    <w:rsid w:val="00E12D77"/>
    <w:rsid w:val="00E629DE"/>
    <w:rsid w:val="00E6704C"/>
    <w:rsid w:val="00E77A3C"/>
    <w:rsid w:val="00EE2284"/>
    <w:rsid w:val="00F04773"/>
    <w:rsid w:val="00F119F8"/>
    <w:rsid w:val="00F36352"/>
    <w:rsid w:val="00F41511"/>
    <w:rsid w:val="00F500AC"/>
    <w:rsid w:val="00F662B3"/>
    <w:rsid w:val="00F66712"/>
    <w:rsid w:val="00F676BE"/>
    <w:rsid w:val="00F72264"/>
    <w:rsid w:val="00F7266C"/>
    <w:rsid w:val="00F94073"/>
    <w:rsid w:val="00FB1B9F"/>
    <w:rsid w:val="00FC684E"/>
    <w:rsid w:val="00FC7190"/>
    <w:rsid w:val="00FC72B8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21351"/>
  </w:style>
  <w:style w:type="character" w:customStyle="1" w:styleId="BrdtekstTegn">
    <w:name w:val="Brødtekst Tegn"/>
    <w:basedOn w:val="Standardskrifttypeiafsnit"/>
    <w:link w:val="Brdtekst"/>
    <w:uiPriority w:val="1"/>
    <w:rsid w:val="00521351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7436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36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436C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36C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36C5"/>
    <w:rPr>
      <w:b/>
      <w:bCs/>
    </w:rPr>
  </w:style>
  <w:style w:type="paragraph" w:styleId="Listeafsnit">
    <w:name w:val="List Paragraph"/>
    <w:basedOn w:val="Normal"/>
    <w:uiPriority w:val="34"/>
    <w:qFormat/>
    <w:rsid w:val="00DF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76C7-3E6F-4D6C-A74D-31AE9D73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113</TotalTime>
  <Pages>2</Pages>
  <Words>425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12</cp:revision>
  <cp:lastPrinted>2018-06-03T10:12:00Z</cp:lastPrinted>
  <dcterms:created xsi:type="dcterms:W3CDTF">2019-05-06T11:19:00Z</dcterms:created>
  <dcterms:modified xsi:type="dcterms:W3CDTF">2023-10-14T21:23:00Z</dcterms:modified>
</cp:coreProperties>
</file>